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4E" w:rsidRDefault="00871F21" w:rsidP="00871F21">
      <w:pPr>
        <w:pStyle w:val="Kop1"/>
        <w:jc w:val="center"/>
        <w:rPr>
          <w:b/>
        </w:rPr>
      </w:pPr>
      <w:r w:rsidRPr="00871F21">
        <w:rPr>
          <w:b/>
        </w:rPr>
        <w:t>ROOSTER THEMAWEEK WIJKGERICHT WERKEN</w:t>
      </w:r>
    </w:p>
    <w:p w:rsidR="00871F21" w:rsidRDefault="00871F21" w:rsidP="00871F21"/>
    <w:p w:rsidR="00871F21" w:rsidRDefault="00871F21" w:rsidP="00871F21"/>
    <w:tbl>
      <w:tblPr>
        <w:tblStyle w:val="Tabel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560"/>
        <w:gridCol w:w="2162"/>
        <w:gridCol w:w="2232"/>
        <w:gridCol w:w="2268"/>
        <w:gridCol w:w="2552"/>
      </w:tblGrid>
      <w:tr w:rsidR="003A2FEB" w:rsidTr="003A2FEB">
        <w:tc>
          <w:tcPr>
            <w:tcW w:w="1560" w:type="dxa"/>
            <w:shd w:val="clear" w:color="auto" w:fill="5B9BD5" w:themeFill="accent1"/>
          </w:tcPr>
          <w:p w:rsidR="00871F21" w:rsidRDefault="00871F21" w:rsidP="00871F21">
            <w:r>
              <w:t>TIJD</w:t>
            </w:r>
          </w:p>
        </w:tc>
        <w:tc>
          <w:tcPr>
            <w:tcW w:w="2162" w:type="dxa"/>
            <w:shd w:val="clear" w:color="auto" w:fill="5B9BD5" w:themeFill="accent1"/>
          </w:tcPr>
          <w:p w:rsidR="00871F21" w:rsidRDefault="00871F21" w:rsidP="00871F21">
            <w:r>
              <w:t>DAG 1</w:t>
            </w:r>
          </w:p>
        </w:tc>
        <w:tc>
          <w:tcPr>
            <w:tcW w:w="2232" w:type="dxa"/>
            <w:shd w:val="clear" w:color="auto" w:fill="5B9BD5" w:themeFill="accent1"/>
          </w:tcPr>
          <w:p w:rsidR="00871F21" w:rsidRDefault="00871F21" w:rsidP="00871F21">
            <w:r>
              <w:t>DAG 2</w:t>
            </w:r>
          </w:p>
        </w:tc>
        <w:tc>
          <w:tcPr>
            <w:tcW w:w="2268" w:type="dxa"/>
            <w:shd w:val="clear" w:color="auto" w:fill="5B9BD5" w:themeFill="accent1"/>
          </w:tcPr>
          <w:p w:rsidR="00871F21" w:rsidRDefault="00871F21" w:rsidP="00871F21">
            <w:r>
              <w:t>DAG 3</w:t>
            </w:r>
          </w:p>
        </w:tc>
        <w:tc>
          <w:tcPr>
            <w:tcW w:w="2552" w:type="dxa"/>
            <w:shd w:val="clear" w:color="auto" w:fill="5B9BD5" w:themeFill="accent1"/>
          </w:tcPr>
          <w:p w:rsidR="00871F21" w:rsidRDefault="00871F21" w:rsidP="00871F21">
            <w:r>
              <w:t>DAG 4</w:t>
            </w:r>
          </w:p>
        </w:tc>
      </w:tr>
      <w:tr w:rsidR="003A2FEB" w:rsidTr="003A2FEB">
        <w:trPr>
          <w:trHeight w:val="675"/>
        </w:trPr>
        <w:tc>
          <w:tcPr>
            <w:tcW w:w="1560" w:type="dxa"/>
          </w:tcPr>
          <w:p w:rsidR="00871F21" w:rsidRDefault="00871F21" w:rsidP="00871F21">
            <w:r>
              <w:t>9.00-10.30</w:t>
            </w:r>
          </w:p>
        </w:tc>
        <w:tc>
          <w:tcPr>
            <w:tcW w:w="2162" w:type="dxa"/>
          </w:tcPr>
          <w:p w:rsidR="00871F21" w:rsidRDefault="00871F21" w:rsidP="00871F21">
            <w:r>
              <w:t>Onderwijsleeractiviteit 1.1.</w:t>
            </w:r>
          </w:p>
        </w:tc>
        <w:tc>
          <w:tcPr>
            <w:tcW w:w="2232" w:type="dxa"/>
          </w:tcPr>
          <w:p w:rsidR="00871F21" w:rsidRDefault="00871F21" w:rsidP="00871F21">
            <w:r>
              <w:t>Onderwijsleeractiviteit 2.1 Vervolg stap 1 van de wijkanalyse</w:t>
            </w:r>
          </w:p>
        </w:tc>
        <w:tc>
          <w:tcPr>
            <w:tcW w:w="2268" w:type="dxa"/>
          </w:tcPr>
          <w:p w:rsidR="00871F21" w:rsidRDefault="0009105B" w:rsidP="00871F21">
            <w:r>
              <w:t>Onderwijsleeractiviteit 3.1. De presentiebenadering</w:t>
            </w:r>
          </w:p>
        </w:tc>
        <w:tc>
          <w:tcPr>
            <w:tcW w:w="2552" w:type="dxa"/>
          </w:tcPr>
          <w:p w:rsidR="003A2FEB" w:rsidRDefault="003A2FEB" w:rsidP="00871F21">
            <w:r>
              <w:t>Onderwijsleeractiviteit 4.1</w:t>
            </w:r>
          </w:p>
          <w:p w:rsidR="00871F21" w:rsidRDefault="003A2FEB" w:rsidP="00871F21">
            <w:r>
              <w:t xml:space="preserve">Stap 5 en 6 van de wijkanalyse </w:t>
            </w:r>
          </w:p>
        </w:tc>
      </w:tr>
      <w:tr w:rsidR="003A2FEB" w:rsidTr="003A2FEB">
        <w:tc>
          <w:tcPr>
            <w:tcW w:w="1560" w:type="dxa"/>
            <w:shd w:val="clear" w:color="auto" w:fill="5B9BD5" w:themeFill="accent1"/>
          </w:tcPr>
          <w:p w:rsidR="00871F21" w:rsidRDefault="00871F21" w:rsidP="00871F21">
            <w:r>
              <w:t>PAUZE</w:t>
            </w:r>
          </w:p>
        </w:tc>
        <w:tc>
          <w:tcPr>
            <w:tcW w:w="2162" w:type="dxa"/>
            <w:shd w:val="clear" w:color="auto" w:fill="5B9BD5" w:themeFill="accent1"/>
          </w:tcPr>
          <w:p w:rsidR="00871F21" w:rsidRDefault="00871F21" w:rsidP="00871F21"/>
        </w:tc>
        <w:tc>
          <w:tcPr>
            <w:tcW w:w="2232" w:type="dxa"/>
            <w:shd w:val="clear" w:color="auto" w:fill="5B9BD5" w:themeFill="accent1"/>
          </w:tcPr>
          <w:p w:rsidR="00871F21" w:rsidRDefault="00871F21" w:rsidP="00871F21"/>
        </w:tc>
        <w:tc>
          <w:tcPr>
            <w:tcW w:w="2268" w:type="dxa"/>
            <w:shd w:val="clear" w:color="auto" w:fill="5B9BD5" w:themeFill="accent1"/>
          </w:tcPr>
          <w:p w:rsidR="00871F21" w:rsidRDefault="00871F21" w:rsidP="00871F21"/>
        </w:tc>
        <w:tc>
          <w:tcPr>
            <w:tcW w:w="2552" w:type="dxa"/>
            <w:shd w:val="clear" w:color="auto" w:fill="5B9BD5" w:themeFill="accent1"/>
          </w:tcPr>
          <w:p w:rsidR="00871F21" w:rsidRDefault="00871F21" w:rsidP="00871F21"/>
        </w:tc>
      </w:tr>
      <w:tr w:rsidR="003A2FEB" w:rsidTr="003A2FEB">
        <w:trPr>
          <w:trHeight w:val="746"/>
        </w:trPr>
        <w:tc>
          <w:tcPr>
            <w:tcW w:w="1560" w:type="dxa"/>
          </w:tcPr>
          <w:p w:rsidR="00871F21" w:rsidRDefault="00871F21" w:rsidP="00871F21">
            <w:r>
              <w:t>10.45-12.15</w:t>
            </w:r>
          </w:p>
        </w:tc>
        <w:tc>
          <w:tcPr>
            <w:tcW w:w="2162" w:type="dxa"/>
          </w:tcPr>
          <w:p w:rsidR="00871F21" w:rsidRDefault="00871F21" w:rsidP="00871F21">
            <w:r>
              <w:t>Onderwijsleeractiviteit 1.2</w:t>
            </w:r>
          </w:p>
        </w:tc>
        <w:tc>
          <w:tcPr>
            <w:tcW w:w="2232" w:type="dxa"/>
          </w:tcPr>
          <w:p w:rsidR="00871F21" w:rsidRDefault="0009105B" w:rsidP="00871F21">
            <w:r>
              <w:t>Onderwijsleeractiviteit 2.2. Signaleren achter de voordeur</w:t>
            </w:r>
          </w:p>
        </w:tc>
        <w:tc>
          <w:tcPr>
            <w:tcW w:w="2268" w:type="dxa"/>
          </w:tcPr>
          <w:p w:rsidR="00871F21" w:rsidRDefault="0009105B" w:rsidP="00871F21">
            <w:r>
              <w:t>Onderwijsleeractiviteit 3.1. De presentiebenadering</w:t>
            </w:r>
          </w:p>
        </w:tc>
        <w:tc>
          <w:tcPr>
            <w:tcW w:w="2552" w:type="dxa"/>
          </w:tcPr>
          <w:p w:rsidR="003A2FEB" w:rsidRDefault="003A2FEB" w:rsidP="003A2FEB">
            <w:r>
              <w:t>Onderwijsleeractiviteit 4.1</w:t>
            </w:r>
          </w:p>
          <w:p w:rsidR="00871F21" w:rsidRDefault="003A2FEB" w:rsidP="003A2FEB">
            <w:r>
              <w:t>Stap 5 en 6 van de wijkanalyse</w:t>
            </w:r>
          </w:p>
        </w:tc>
      </w:tr>
      <w:tr w:rsidR="003A2FEB" w:rsidTr="003A2FEB">
        <w:tc>
          <w:tcPr>
            <w:tcW w:w="1560" w:type="dxa"/>
            <w:shd w:val="clear" w:color="auto" w:fill="5B9BD5" w:themeFill="accent1"/>
          </w:tcPr>
          <w:p w:rsidR="00871F21" w:rsidRDefault="00871F21" w:rsidP="00871F21">
            <w:r>
              <w:t>PAUZE</w:t>
            </w:r>
          </w:p>
        </w:tc>
        <w:tc>
          <w:tcPr>
            <w:tcW w:w="2162" w:type="dxa"/>
            <w:shd w:val="clear" w:color="auto" w:fill="5B9BD5" w:themeFill="accent1"/>
          </w:tcPr>
          <w:p w:rsidR="00871F21" w:rsidRDefault="00871F21" w:rsidP="00871F21"/>
        </w:tc>
        <w:tc>
          <w:tcPr>
            <w:tcW w:w="2232" w:type="dxa"/>
            <w:shd w:val="clear" w:color="auto" w:fill="5B9BD5" w:themeFill="accent1"/>
          </w:tcPr>
          <w:p w:rsidR="00871F21" w:rsidRDefault="00871F21" w:rsidP="00871F21"/>
        </w:tc>
        <w:tc>
          <w:tcPr>
            <w:tcW w:w="2268" w:type="dxa"/>
            <w:shd w:val="clear" w:color="auto" w:fill="5B9BD5" w:themeFill="accent1"/>
          </w:tcPr>
          <w:p w:rsidR="00871F21" w:rsidRDefault="00871F21" w:rsidP="00871F21"/>
        </w:tc>
        <w:tc>
          <w:tcPr>
            <w:tcW w:w="2552" w:type="dxa"/>
            <w:shd w:val="clear" w:color="auto" w:fill="5B9BD5" w:themeFill="accent1"/>
          </w:tcPr>
          <w:p w:rsidR="00871F21" w:rsidRDefault="00871F21" w:rsidP="00871F21"/>
        </w:tc>
      </w:tr>
      <w:tr w:rsidR="003A2FEB" w:rsidTr="003A2FEB">
        <w:trPr>
          <w:trHeight w:val="745"/>
        </w:trPr>
        <w:tc>
          <w:tcPr>
            <w:tcW w:w="1560" w:type="dxa"/>
          </w:tcPr>
          <w:p w:rsidR="00871F21" w:rsidRDefault="00871F21" w:rsidP="00871F21">
            <w:r>
              <w:t>13.00-14.30</w:t>
            </w:r>
          </w:p>
        </w:tc>
        <w:tc>
          <w:tcPr>
            <w:tcW w:w="2162" w:type="dxa"/>
          </w:tcPr>
          <w:p w:rsidR="00871F21" w:rsidRDefault="00871F21" w:rsidP="00871F21">
            <w:r>
              <w:t>Onderwijsleeractiviteit 1.3. Stap 1 van de wijkanalyse</w:t>
            </w:r>
          </w:p>
        </w:tc>
        <w:tc>
          <w:tcPr>
            <w:tcW w:w="2232" w:type="dxa"/>
          </w:tcPr>
          <w:p w:rsidR="00871F21" w:rsidRDefault="00871F21" w:rsidP="00E64762">
            <w:r>
              <w:t xml:space="preserve">Onderwijsleeractiviteit </w:t>
            </w:r>
            <w:r w:rsidR="0009105B">
              <w:t xml:space="preserve">2.3 </w:t>
            </w:r>
            <w:r w:rsidR="00E64762">
              <w:t>Brand veiligheid/ 2.4  St</w:t>
            </w:r>
            <w:bookmarkStart w:id="0" w:name="_GoBack"/>
            <w:bookmarkEnd w:id="0"/>
            <w:r w:rsidR="00E64762">
              <w:t>ap 2 van de wijkanalyse</w:t>
            </w:r>
          </w:p>
        </w:tc>
        <w:tc>
          <w:tcPr>
            <w:tcW w:w="2268" w:type="dxa"/>
          </w:tcPr>
          <w:p w:rsidR="00871F21" w:rsidRDefault="0009105B" w:rsidP="00871F21">
            <w:r>
              <w:t>Onderwijsleeractiviteit</w:t>
            </w:r>
          </w:p>
          <w:p w:rsidR="0009105B" w:rsidRDefault="0009105B" w:rsidP="00871F21">
            <w:r>
              <w:t>3.2 Stap 3 en 4 van de wijkanalyse</w:t>
            </w:r>
          </w:p>
        </w:tc>
        <w:tc>
          <w:tcPr>
            <w:tcW w:w="2552" w:type="dxa"/>
          </w:tcPr>
          <w:p w:rsidR="00871F21" w:rsidRDefault="003A2FEB" w:rsidP="00871F21">
            <w:r>
              <w:t>Onderwijsleeractiviteit 4.2</w:t>
            </w:r>
          </w:p>
          <w:p w:rsidR="003A2FEB" w:rsidRDefault="003A2FEB" w:rsidP="00871F21">
            <w:r>
              <w:t>Stap 7 Stel de wijkdiagnose en formuleer doelen</w:t>
            </w:r>
          </w:p>
        </w:tc>
      </w:tr>
      <w:tr w:rsidR="003A2FEB" w:rsidTr="003A2FEB">
        <w:tc>
          <w:tcPr>
            <w:tcW w:w="1560" w:type="dxa"/>
            <w:shd w:val="clear" w:color="auto" w:fill="5B9BD5" w:themeFill="accent1"/>
          </w:tcPr>
          <w:p w:rsidR="00871F21" w:rsidRDefault="00871F21" w:rsidP="00871F21">
            <w:r>
              <w:t>PAUZE</w:t>
            </w:r>
          </w:p>
        </w:tc>
        <w:tc>
          <w:tcPr>
            <w:tcW w:w="2162" w:type="dxa"/>
            <w:shd w:val="clear" w:color="auto" w:fill="5B9BD5" w:themeFill="accent1"/>
          </w:tcPr>
          <w:p w:rsidR="00871F21" w:rsidRDefault="00871F21" w:rsidP="00871F21"/>
        </w:tc>
        <w:tc>
          <w:tcPr>
            <w:tcW w:w="2232" w:type="dxa"/>
            <w:shd w:val="clear" w:color="auto" w:fill="5B9BD5" w:themeFill="accent1"/>
          </w:tcPr>
          <w:p w:rsidR="00871F21" w:rsidRDefault="00871F21" w:rsidP="00871F21"/>
        </w:tc>
        <w:tc>
          <w:tcPr>
            <w:tcW w:w="2268" w:type="dxa"/>
            <w:shd w:val="clear" w:color="auto" w:fill="5B9BD5" w:themeFill="accent1"/>
          </w:tcPr>
          <w:p w:rsidR="00871F21" w:rsidRDefault="00871F21" w:rsidP="00871F21"/>
        </w:tc>
        <w:tc>
          <w:tcPr>
            <w:tcW w:w="2552" w:type="dxa"/>
            <w:shd w:val="clear" w:color="auto" w:fill="5B9BD5" w:themeFill="accent1"/>
          </w:tcPr>
          <w:p w:rsidR="00871F21" w:rsidRDefault="00871F21" w:rsidP="00871F21"/>
        </w:tc>
      </w:tr>
      <w:tr w:rsidR="003A2FEB" w:rsidTr="003A2FEB">
        <w:trPr>
          <w:trHeight w:val="1029"/>
        </w:trPr>
        <w:tc>
          <w:tcPr>
            <w:tcW w:w="1560" w:type="dxa"/>
          </w:tcPr>
          <w:p w:rsidR="00871F21" w:rsidRDefault="00871F21" w:rsidP="00871F21">
            <w:r>
              <w:t>14.45- 17.00</w:t>
            </w:r>
          </w:p>
        </w:tc>
        <w:tc>
          <w:tcPr>
            <w:tcW w:w="2162" w:type="dxa"/>
          </w:tcPr>
          <w:p w:rsidR="00871F21" w:rsidRDefault="00871F21" w:rsidP="00871F21">
            <w:r>
              <w:t>Onderwijsleeractiviteit 1.3. Stap 1 van de wijkanalyse</w:t>
            </w:r>
          </w:p>
        </w:tc>
        <w:tc>
          <w:tcPr>
            <w:tcW w:w="2232" w:type="dxa"/>
          </w:tcPr>
          <w:p w:rsidR="00871F21" w:rsidRDefault="00E64762" w:rsidP="00871F21">
            <w:r>
              <w:t>Onderwijsleeractiviteit 2.4</w:t>
            </w:r>
            <w:r w:rsidR="0009105B">
              <w:t>Stap 2 van de wijkanalyse</w:t>
            </w:r>
          </w:p>
        </w:tc>
        <w:tc>
          <w:tcPr>
            <w:tcW w:w="2268" w:type="dxa"/>
          </w:tcPr>
          <w:p w:rsidR="0009105B" w:rsidRDefault="0009105B" w:rsidP="0009105B">
            <w:r>
              <w:t>Onderwijsleeractiviteit</w:t>
            </w:r>
          </w:p>
          <w:p w:rsidR="00871F21" w:rsidRDefault="0009105B" w:rsidP="0009105B">
            <w:r>
              <w:t>3.2 Stap 3 en 4 van de wijkanalyse</w:t>
            </w:r>
          </w:p>
        </w:tc>
        <w:tc>
          <w:tcPr>
            <w:tcW w:w="2552" w:type="dxa"/>
          </w:tcPr>
          <w:p w:rsidR="003A2FEB" w:rsidRDefault="003A2FEB" w:rsidP="003A2FEB">
            <w:r>
              <w:t>Onderwijsleeractiviteit 4.2</w:t>
            </w:r>
          </w:p>
          <w:p w:rsidR="00871F21" w:rsidRDefault="003A2FEB" w:rsidP="003A2FEB">
            <w:r>
              <w:t>Stap 7 Stel de wijkdiagnose en formuleer doelen</w:t>
            </w:r>
          </w:p>
        </w:tc>
      </w:tr>
    </w:tbl>
    <w:p w:rsidR="00871F21" w:rsidRPr="00871F21" w:rsidRDefault="00871F21" w:rsidP="00871F21"/>
    <w:sectPr w:rsidR="00871F21" w:rsidRPr="00871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21"/>
    <w:rsid w:val="0009105B"/>
    <w:rsid w:val="00323C4E"/>
    <w:rsid w:val="003A2FEB"/>
    <w:rsid w:val="008069D1"/>
    <w:rsid w:val="00871F21"/>
    <w:rsid w:val="00E64762"/>
    <w:rsid w:val="00F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0DDEB-0EC6-4B2D-8AD3-25F9FEF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71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1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7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Jacobs - Bakker</dc:creator>
  <cp:keywords/>
  <dc:description/>
  <cp:lastModifiedBy>Anja Jacobs - Bakker</cp:lastModifiedBy>
  <cp:revision>2</cp:revision>
  <dcterms:created xsi:type="dcterms:W3CDTF">2016-04-16T12:16:00Z</dcterms:created>
  <dcterms:modified xsi:type="dcterms:W3CDTF">2016-04-16T12:16:00Z</dcterms:modified>
</cp:coreProperties>
</file>